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регионального этапа Всероссийского конкурса «Семья года» </w:t>
      </w:r>
      <w:r>
        <w:rPr>
          <w:rFonts w:eastAsia="Times New Roman" w:cs="Times New Roman"/>
          <w:sz w:val="28"/>
          <w:szCs w:val="28"/>
        </w:rPr>
        <w:t xml:space="preserve"> –</w:t>
      </w:r>
      <w:r>
        <w:rPr>
          <w:b/>
          <w:bCs/>
          <w:sz w:val="28"/>
          <w:szCs w:val="28"/>
        </w:rPr>
        <w:t xml:space="preserve"> областного конкурса «Семейные ценности»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9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2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 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9"/>
        <w:ind w:left="1429" w:firstLine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Настоящее Положение </w:t>
      </w:r>
      <w:r>
        <w:rPr>
          <w:bCs/>
          <w:sz w:val="28"/>
          <w:szCs w:val="28"/>
        </w:rPr>
        <w:t xml:space="preserve">о региональном этапе Всероссийского конкурса «Семья года»</w:t>
      </w:r>
      <w:r>
        <w:rPr>
          <w:rFonts w:eastAsia="Times New Roman" w:cs="Times New Roman"/>
          <w:sz w:val="28"/>
          <w:szCs w:val="28"/>
        </w:rPr>
        <w:t xml:space="preserve"> –</w:t>
      </w:r>
      <w:r>
        <w:rPr>
          <w:bCs/>
          <w:sz w:val="28"/>
          <w:szCs w:val="28"/>
        </w:rPr>
        <w:t xml:space="preserve"> областного конкурса «Семейные ценности» </w:t>
      </w:r>
      <w:r>
        <w:rPr>
          <w:sz w:val="28"/>
          <w:szCs w:val="28"/>
        </w:rPr>
        <w:t xml:space="preserve">(далее – Положение) определяет цель, условия и порядок проведения регионального этапа Всероссийского конкурса «Семья года» </w:t>
      </w:r>
      <w:r>
        <w:rPr>
          <w:rFonts w:eastAsia="Times New Roman" w:cs="Times New Roman"/>
          <w:sz w:val="28"/>
          <w:szCs w:val="28"/>
        </w:rPr>
        <w:t xml:space="preserve">–</w:t>
      </w:r>
      <w:r>
        <w:rPr>
          <w:sz w:val="28"/>
          <w:szCs w:val="28"/>
        </w:rPr>
        <w:t xml:space="preserve"> областного конкурса «Семейные ценности» (далее – конкурс), сроки представления и основные требования к конкурсным работам, процедуру определения и награждения победителей.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firstLine="0"/>
        <w:jc w:val="center"/>
        <w:rPr>
          <w:szCs w:val="28"/>
        </w:rPr>
      </w:pPr>
      <w:r>
        <w:rPr>
          <w:szCs w:val="28"/>
          <w:lang w:val="en-US"/>
        </w:rPr>
        <w:t xml:space="preserve">II</w:t>
      </w:r>
      <w:r>
        <w:rPr>
          <w:szCs w:val="28"/>
        </w:rPr>
        <w:t xml:space="preserve">. Цель и задачи конкурса</w:t>
      </w:r>
      <w:r>
        <w:rPr>
          <w:szCs w:val="28"/>
        </w:rPr>
      </w:r>
      <w:r>
        <w:rPr>
          <w:szCs w:val="28"/>
        </w:rPr>
      </w:r>
    </w:p>
    <w:p>
      <w:pPr>
        <w:pStyle w:val="829"/>
        <w:ind w:left="1429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Целью конкурса является у</w:t>
      </w:r>
      <w:r>
        <w:rPr>
          <w:bCs/>
          <w:color w:val="000000"/>
          <w:sz w:val="28"/>
          <w:szCs w:val="28"/>
        </w:rPr>
        <w:t xml:space="preserve">крепление института семьи, поддержание престижа материнства и отцовства, сохранение, укрепление и продвижение традиционных семейных ценностей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Задачи конкурса: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tabs>
          <w:tab w:val="left" w:pos="284" w:leader="none"/>
          <w:tab w:val="clear" w:pos="708" w:leader="none"/>
        </w:tabs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распространение положительного опыта социально ответственных семей, в том числе семей, воспитывающих детей с инвалидностью, семей приня</w:t>
      </w:r>
      <w:r>
        <w:rPr>
          <w:sz w:val="28"/>
          <w:szCs w:val="28"/>
        </w:rPr>
        <w:t xml:space="preserve">вших на воспитание детей-сирот, детей, оставшихся без попечения родителей, положительного опыта семейных династий; ведущих здоровый образ жизни, развивающих увлечения и таланты членов семьи, активно участвующих в жизни местного сообщества, региона, страны;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tabs>
          <w:tab w:val="left" w:pos="284" w:leader="none"/>
          <w:tab w:val="clear" w:pos="708" w:leader="none"/>
        </w:tabs>
        <w:spacing w:before="0" w:after="0"/>
        <w:ind w:left="0" w:righ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2) формирование у молодого поколения установки на семью и семейный образ жизни;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tabs>
          <w:tab w:val="left" w:pos="284" w:leader="none"/>
          <w:tab w:val="clear" w:pos="708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популяризация традиционных семейных ценностей;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tabs>
          <w:tab w:val="left" w:pos="284" w:leader="none"/>
          <w:tab w:val="clear" w:pos="708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содействие развитию творческого потенциала семей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tabs>
          <w:tab w:val="left" w:pos="284" w:leader="none"/>
          <w:tab w:val="clear" w:pos="708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поощрение достижений семейного, духовно-нравственного и патриотического воспитания, заслуг в сохранении и укреплении традиционных семейных традиций.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29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 Организатор конкурса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Организацию и проведение конкурса осуществляет министерство труда и социального развития Новосибирской области (далее – организатор конкурса).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29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Участники конкурса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29"/>
        <w:ind w:left="1429" w:firstLine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Участниками конкурса могут стать семьи, проживающие на территории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семьи, в которых создаются благоприятные условия для гармоничного развития каждого члена семьи;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семьи, в которых дети полу</w:t>
      </w:r>
      <w:r>
        <w:rPr>
          <w:sz w:val="28"/>
          <w:szCs w:val="28"/>
        </w:rPr>
        <w:t xml:space="preserve">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семьи, члены которых активно участвуют (участвовали) в жизни города (района), области, страны, сообщества, отмечены муниципальными, региональными, федеральными, общественными наградами/поощрениями;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 Условия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9"/>
        <w:ind w:left="1429" w:firstLine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На конкурс представляются работы (далее – конкурсная работа), отражающие значимость семейного уклада жизни, бережного отношения к семейным традициям.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Номинации: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«Многопоколенная семья» – принимают участие семьи, представленные несколькими поколениями семей – супружескими парами и их детьми, ныне здравствующими;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«Многодетная семья» – принимают участие семьи, которые успешно воспитывают (или воспитали) трех и более детей, в том числе и приемных, а также активно участвуют в социально значимых мероприятиях и общественной жизни района/города/области;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«Молодая семья»</w:t>
      </w:r>
      <w:r>
        <w:t xml:space="preserve"> </w:t>
      </w:r>
      <w:r>
        <w:rPr>
          <w:sz w:val="28"/>
          <w:szCs w:val="28"/>
        </w:rPr>
        <w:t xml:space="preserve">–</w:t>
      </w:r>
      <w:r>
        <w:t xml:space="preserve"> </w:t>
      </w:r>
      <w:r>
        <w:rPr>
          <w:sz w:val="28"/>
          <w:szCs w:val="28"/>
        </w:rPr>
        <w:t xml:space="preserve">принимают участие молодые семьи (возраст      </w:t>
      </w:r>
      <w:r>
        <w:rPr>
          <w:sz w:val="28"/>
          <w:szCs w:val="28"/>
        </w:rPr>
        <w:t xml:space="preserve">            супругов – до 35 лет), воспитывающие одного и более детей, в том числе и приемных, а также занимающиеся общественной или творческой деятельностью, уделяющие большое внимание занятиям физической культурой и спортом, ведущие здоровый образ жизни;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«Сельская семья»</w:t>
      </w:r>
      <w:r>
        <w:t xml:space="preserve"> </w:t>
      </w:r>
      <w:r>
        <w:rPr>
          <w:sz w:val="28"/>
          <w:szCs w:val="28"/>
        </w:rPr>
        <w:t xml:space="preserve">–</w:t>
      </w:r>
      <w:r>
        <w:t xml:space="preserve"> </w:t>
      </w:r>
      <w:r>
        <w:rPr>
          <w:sz w:val="28"/>
          <w:szCs w:val="28"/>
        </w:rPr>
        <w:t xml:space="preserve">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«Золотая семья России»</w:t>
      </w:r>
      <w:r>
        <w:t xml:space="preserve"> </w:t>
      </w:r>
      <w:r>
        <w:rPr>
          <w:sz w:val="28"/>
          <w:szCs w:val="28"/>
        </w:rPr>
        <w:t xml:space="preserve">–</w:t>
      </w:r>
      <w:r>
        <w:t xml:space="preserve"> </w:t>
      </w:r>
      <w:r>
        <w:rPr>
          <w:sz w:val="28"/>
          <w:szCs w:val="28"/>
        </w:rPr>
        <w:t xml:space="preserve">принимают участие семьи, члены которых прожили в зарегистрированном браке не менее 30 лет, являются примером приверженности традиционным семейным ценностям, укрепления многопоколенных связей, гражданственности и патриотизма;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«Семья – хранитель традиций»</w:t>
      </w:r>
      <w:r>
        <w:t xml:space="preserve"> </w:t>
      </w:r>
      <w:r>
        <w:rPr>
          <w:sz w:val="28"/>
          <w:szCs w:val="28"/>
        </w:rPr>
        <w:t xml:space="preserve">принимают участие семьи, сохраняющие традиции национальной культуры, семейные реликвии, обычаи семьи, историю своего рода, документы, предметы, принадлежащие семье или роду и передаваемые из поколения в поколение,  приверженность семейной профессии.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и количество номинаций могут корректироваться по решению конкурсной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Принимая участие в данном конкурсе, все участники дают согласие организатору конкурса на обработку их персональных данных в рамках Федерального закона от 27.07.2006 № 152-ФЗ «О персональных данных».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 Требования к оформлению заявок на участие в конкурсе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9"/>
        <w:ind w:left="1429" w:firstLine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Участник конку</w:t>
      </w:r>
      <w:r>
        <w:rPr>
          <w:sz w:val="28"/>
          <w:szCs w:val="28"/>
        </w:rPr>
        <w:t xml:space="preserve">рса предоставляет организатору конкурса заявку на бумажном носителе по форме согласно приложению к настоящему Положению. Работа для участия в конкурсе оформляется в пластиковую папку-скоросшиватель с использованием прозрачных папок-вкладышей с перфорацией.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К заявке прилагаются: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рассказ-сопровождение (хроника важных семейных событий, подтверждение достижений членов семьи в профессиональной, творческой, общественной деятельности, документальное отражение повседневной жизни семьи) – не более 3 страниц (размер шрифта 14, </w:t>
      </w:r>
      <w:r>
        <w:rPr>
          <w:sz w:val="28"/>
          <w:szCs w:val="28"/>
          <w:lang w:val="en-US"/>
        </w:rPr>
        <w:t xml:space="preserve"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Roman</w:t>
      </w:r>
      <w:r>
        <w:rPr>
          <w:sz w:val="28"/>
          <w:szCs w:val="28"/>
        </w:rPr>
        <w:t xml:space="preserve">, полуторный междустрочный интервал) на листах формата А4;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цветные или </w:t>
      </w:r>
      <w:r>
        <w:rPr>
          <w:sz w:val="28"/>
          <w:szCs w:val="28"/>
        </w:rPr>
        <w:t xml:space="preserve">черно-белые фотографии размером не менее 20х30 см и не более 30х40 см (каждая фотография должна быть подписана с оборотной стороны, указана фамилия семьи и название района Новосибирской области или города Новосибирска) с приложенными электронными копиями (</w:t>
      </w:r>
      <w:r>
        <w:rPr>
          <w:sz w:val="28"/>
          <w:szCs w:val="28"/>
          <w:lang w:val="en-US"/>
        </w:rPr>
        <w:t xml:space="preserve">USB</w:t>
      </w:r>
      <w:r>
        <w:rPr>
          <w:sz w:val="28"/>
          <w:szCs w:val="28"/>
        </w:rPr>
        <w:t xml:space="preserve"> – флеш - накопителе и соответствовать следующим требованиям; JPG или TIFF; 300 dpi; размер больше 4 мб, 1920*1080 не более 10 шт; каждая фотография должна быть подписана) или ссылка для скачивания материалов с внешних серверов (</w:t>
      </w:r>
      <w:r>
        <w:rPr>
          <w:sz w:val="28"/>
          <w:szCs w:val="28"/>
          <w:lang w:val="en-US"/>
        </w:rPr>
        <w:t xml:space="preserve">Google</w:t>
      </w:r>
      <w:r>
        <w:rPr>
          <w:sz w:val="28"/>
          <w:szCs w:val="28"/>
        </w:rPr>
        <w:t xml:space="preserve"> диск, Яндекс диск, Облако </w:t>
      </w:r>
      <w:r>
        <w:rPr>
          <w:sz w:val="28"/>
          <w:szCs w:val="28"/>
          <w:lang w:val="en-US"/>
        </w:rPr>
        <w:t xml:space="preserve">Mail</w:t>
      </w:r>
      <w:r>
        <w:rPr>
          <w:sz w:val="28"/>
          <w:szCs w:val="28"/>
        </w:rPr>
        <w:t xml:space="preserve"> или другие);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копия документа, удостоверяющего личность заявителей, свидетельства о рождении детей, копии свидетельств о браке;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</w:t>
      </w:r>
      <w:r>
        <w:t xml:space="preserve"> </w:t>
      </w:r>
      <w:r>
        <w:rPr>
          <w:sz w:val="28"/>
          <w:szCs w:val="28"/>
        </w:rPr>
        <w:t xml:space="preserve">копия документа, подтверждающего факт пр</w:t>
      </w:r>
      <w:r>
        <w:rPr>
          <w:sz w:val="28"/>
          <w:szCs w:val="28"/>
        </w:rPr>
        <w:t xml:space="preserve">оживания заявителей на территории Новосибирской области (паспорт с отметкой о регистрации гражданина по месту жительства, свидетельство о регистрации по месту пребывания, судебное решение об установлении факта проживания заявителя по определенному адресу);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копии грамот, дипломов, благодарственных писем, других наградных материалов в формате pdf на USB – флеш – накопителе или ссылка для скачивания материалов с внешних серверов (Google диск, Яндекс диск, Облако Mail или другие);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презентация в формате Microsoft PowerPoint (</w:t>
      </w:r>
      <w:r>
        <w:rPr>
          <w:sz w:val="28"/>
          <w:szCs w:val="28"/>
        </w:rPr>
        <w:t xml:space="preserve">не более 25 слайдов) и/или видеоролик в формате VP4, MOV, AVI (обязательно) продолжительностью не более 2 минут (наличие на USB – флеш - накопитель) или ссылка для скачивания материалов с внешних серверов (Google диск, Яндекс диск, Облако Mail или другие);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дополнительные материалы (портфолио, генеалогическое дерево, копии публикаций в СМИ в формате pdf, дополнительные видеоролики продолжительностью не более 2 минут и пр.), которые</w:t>
      </w:r>
      <w:r>
        <w:t xml:space="preserve"> </w:t>
      </w:r>
      <w:r>
        <w:rPr>
          <w:sz w:val="28"/>
          <w:szCs w:val="28"/>
        </w:rPr>
        <w:t xml:space="preserve">предоставляются по собственной инициативе семьи на  USB – флеш – накопителе или ссылка для скачивания материалов с внешних серверов (Google диск, Яндекс диск, Облако Mail или другие) 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приема заявок составляет 30 рабочих дней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опубликования организатором конкурса информационного сообщения о проведении конкурса на официальном сайте организатора конкурса.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 В случае несоответствия заявки требованиям настоящего Положения организатор конкурса отказывает в приеме, заявка подлежит возврату участникам в течение пяти рабочих дней со дня ее получения с указанием, каким именно требованиям она не соответствует.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принятии заявки не препятствует повторной подаче заявки в установленный пунктом 11 настоящего Положения срок, если будут устранены несоответствия, послужившие основанием для отказа.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widowControl/>
        <w:numPr>
          <w:numId w:val="0"/>
          <w:ilvl w:val="0"/>
        </w:numPr>
        <w:ind w:left="142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3"/>
        <w:widowControl/>
        <w:numPr>
          <w:numId w:val="0"/>
          <w:ilvl w:val="0"/>
        </w:numPr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</w:t>
      </w:r>
      <w:r>
        <w:rPr>
          <w:rFonts w:ascii="Times New Roman" w:hAnsi="Times New Roman" w:cs="Times New Roman"/>
          <w:b/>
          <w:sz w:val="28"/>
          <w:szCs w:val="28"/>
        </w:rPr>
        <w:t xml:space="preserve">. Критерии оценки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3"/>
        <w:widowControl/>
        <w:numPr>
          <w:numId w:val="0"/>
          <w:ilvl w:val="0"/>
        </w:numPr>
        <w:ind w:left="1429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3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 Критериями оценки заявок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9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внутренняя согласованность частей представленной конкурсной работы;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3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оригинальность авторских концепций;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9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Cs/>
          <w:sz w:val="28"/>
          <w:szCs w:val="28"/>
        </w:rPr>
        <w:t xml:space="preserve">стиль изложения материала (ясность, образность, лаконичность, лексика, грамматика);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29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bCs/>
          <w:sz w:val="28"/>
          <w:szCs w:val="28"/>
        </w:rPr>
        <w:t xml:space="preserve">оформление конкурсной работы;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соответствие номинациям, по которым объявлен конкурс.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VIII</w:t>
      </w:r>
      <w:r>
        <w:rPr>
          <w:b/>
          <w:sz w:val="28"/>
          <w:szCs w:val="28"/>
        </w:rPr>
        <w:t xml:space="preserve">. Порядок принятия решения о победителях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9"/>
        <w:ind w:left="1429" w:firstLine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Победителей в каждой номинации определяет организационный комитет, образованный организатором конкурса.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15. Победители награждаются дипломами и ценными подарками за счет средств </w:t>
      </w:r>
      <w:r>
        <w:rPr>
          <w:sz w:val="28"/>
          <w:szCs w:val="28"/>
        </w:rPr>
        <w:t xml:space="preserve">государственной программы Новосибирск</w:t>
      </w:r>
      <w:r>
        <w:rPr>
          <w:sz w:val="28"/>
          <w:szCs w:val="28"/>
        </w:rPr>
        <w:t xml:space="preserve">ой области «Социальная поддержка в Новосибирской области», утвержденной постановлением Правительства Новосибирской области от 17.11.2021 № 462-п «Об утверждении государственной программы Новосибирской области «Социальная поддержка в Новосибирской области».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Заседание организационного комитета, на котором принимается решение о победителях конкурса, проводится в течение 25 рабочих дней со дня окончания срока приема заявок.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победителях конкурса принимается  членами организационного комитета с учетом критериев оценки заявки и оформляется протоколом, который подписывается председателем и секретарем организационного комитета.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комитет возглавляет председатель. В отсутствии председателя организационного комитета его обязанности исполняет заместитель председателя организационного комитета.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Секретарь организационного </w:t>
      </w:r>
      <w:r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осуществляет подготовку заседания организационного комитета, уведомляет его членов о дате, времени и месте проведения заседания организационного комитета не менее чем за три рабочих дня до заседания, оформляет протокол заседания организационного комитета.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Заседание организационного комитета считается правомочным в случае присутствия на нем более половины членов.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Решение о победителях конкурса принимается открытым голосованием. Победившими считаются участники, чьи конкурсные работы получили наибольшее число голосов присутствующих на заседании членов организационного комитета.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случае равенства голосов правом решающего голоса обладает председатель организационного комитета.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Итоги проведения конкурса подлежат обязательному размещению на официальном сайте организатора конкурса в течение 15 рабочих дней дней со дня принятия решения о победителях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Награждение победителей конкурса организуется в течение 2 месяцев с момента подведения итогов в торжественной обстановке. Семьи-победители награждаются почетными дипломами и ценными подарками.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 Организационный комитет вправе учредить дополнительные поощрения участников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Информация о победителях конкурса направляется в адрес организаторов Всероссийского конкурса «Семья года»: Министерство труда и социальной защиты Российской Федерации и Фонд поддержки детей, находящихся в трудной жизненной ситуации.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 Представленные конкурсные работы подлежат возврату заявителям после 1 июня.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По решению организационного комитета опред</w:t>
      </w:r>
      <w:r>
        <w:rPr>
          <w:sz w:val="28"/>
          <w:szCs w:val="28"/>
        </w:rPr>
        <w:t xml:space="preserve">еляются победители регионального этапа конкурса, которые представят Новосибирскую область на Всероссийском конкурсе «Семья года», и в случае победы, примут участие в торжественной церемонии награждения семей-победителей Всероссийского конкурса (г. Москва).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9"/>
        <w:ind w:left="6372" w:firstLine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37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372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851" w:right="566" w:bottom="822" w:left="1418" w:header="426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spacing w:before="74" w:beforeAutospacing="0"/>
      <w:jc w:val="center"/>
    </w:pPr>
    <w:fldSimple w:instr="PAGE \* MERGEFORMAT">
      <w:r>
        <w:t xml:space="preserve">1</w:t>
      </w:r>
    </w:fldSimple>
  </w:p>
  <w:p>
    <w:pPr>
      <w:pStyle w:val="8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</w:pPr>
  </w:p>
  <w:p>
    <w:pPr>
      <w:pStyle w:val="89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0" w:leader="none"/>
        </w:tabs>
        <w:ind w:left="6480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character" w:styleId="827">
    <w:name w:val="footnote reference"/>
    <w:basedOn w:val="862"/>
    <w:uiPriority w:val="99"/>
    <w:unhideWhenUsed/>
    <w:rPr>
      <w:vertAlign w:val="superscript"/>
    </w:rPr>
  </w:style>
  <w:style w:type="character" w:styleId="828">
    <w:name w:val="endnote reference"/>
    <w:basedOn w:val="862"/>
    <w:uiPriority w:val="99"/>
    <w:semiHidden/>
    <w:unhideWhenUsed/>
    <w:rPr>
      <w:vertAlign w:val="superscript"/>
    </w:rPr>
  </w:style>
  <w:style w:type="paragraph" w:styleId="829" w:default="1">
    <w:name w:val="Normal"/>
    <w:qFormat/>
    <w:pPr>
      <w:widowControl/>
      <w:spacing w:before="0" w:beforeAutospacing="0" w:after="0" w:afterAutospacing="0" w:line="240" w:lineRule="auto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30">
    <w:name w:val="Heading 1"/>
    <w:basedOn w:val="82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1">
    <w:name w:val="Heading 2"/>
    <w:basedOn w:val="829"/>
    <w:qFormat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832">
    <w:name w:val="Heading 3"/>
    <w:basedOn w:val="82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3">
    <w:name w:val="Heading 4"/>
    <w:basedOn w:val="82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4">
    <w:name w:val="Heading 5"/>
    <w:basedOn w:val="82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5">
    <w:name w:val="Heading 6"/>
    <w:basedOn w:val="82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6">
    <w:name w:val="Heading 7"/>
    <w:basedOn w:val="82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7">
    <w:name w:val="Heading 8"/>
    <w:basedOn w:val="82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82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1 Char"/>
    <w:basedOn w:val="862"/>
    <w:uiPriority w:val="9"/>
    <w:qFormat/>
    <w:rPr>
      <w:rFonts w:ascii="Arial" w:hAnsi="Arial" w:eastAsia="Arial" w:cs="Arial"/>
      <w:sz w:val="40"/>
      <w:szCs w:val="40"/>
    </w:rPr>
  </w:style>
  <w:style w:type="character" w:styleId="840">
    <w:name w:val="Heading 2 Char"/>
    <w:basedOn w:val="862"/>
    <w:uiPriority w:val="9"/>
    <w:qFormat/>
    <w:rPr>
      <w:rFonts w:ascii="Arial" w:hAnsi="Arial" w:eastAsia="Arial" w:cs="Arial"/>
      <w:sz w:val="34"/>
    </w:rPr>
  </w:style>
  <w:style w:type="character" w:styleId="841">
    <w:name w:val="Heading 3 Char"/>
    <w:basedOn w:val="862"/>
    <w:uiPriority w:val="9"/>
    <w:qFormat/>
    <w:rPr>
      <w:rFonts w:ascii="Arial" w:hAnsi="Arial" w:eastAsia="Arial" w:cs="Arial"/>
      <w:sz w:val="30"/>
      <w:szCs w:val="30"/>
    </w:rPr>
  </w:style>
  <w:style w:type="character" w:styleId="842">
    <w:name w:val="Heading 4 Char"/>
    <w:basedOn w:val="86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3">
    <w:name w:val="Heading 5 Char"/>
    <w:basedOn w:val="86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4">
    <w:name w:val="Heading 6 Char"/>
    <w:basedOn w:val="86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5">
    <w:name w:val="Heading 7 Char"/>
    <w:basedOn w:val="86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6">
    <w:name w:val="Heading 8 Char"/>
    <w:basedOn w:val="86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7">
    <w:name w:val="Heading 9 Char"/>
    <w:basedOn w:val="86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8">
    <w:name w:val="Title Char"/>
    <w:basedOn w:val="862"/>
    <w:uiPriority w:val="10"/>
    <w:qFormat/>
    <w:rPr>
      <w:sz w:val="48"/>
      <w:szCs w:val="48"/>
    </w:rPr>
  </w:style>
  <w:style w:type="character" w:styleId="849">
    <w:name w:val="Subtitle Char"/>
    <w:basedOn w:val="862"/>
    <w:uiPriority w:val="11"/>
    <w:qFormat/>
    <w:rPr>
      <w:sz w:val="24"/>
      <w:szCs w:val="24"/>
    </w:rPr>
  </w:style>
  <w:style w:type="character" w:styleId="850">
    <w:name w:val="Quote Char"/>
    <w:uiPriority w:val="29"/>
    <w:qFormat/>
    <w:rPr>
      <w:i/>
    </w:rPr>
  </w:style>
  <w:style w:type="character" w:styleId="851">
    <w:name w:val="Intense Quote Char"/>
    <w:uiPriority w:val="30"/>
    <w:qFormat/>
    <w:rPr>
      <w:i/>
    </w:rPr>
  </w:style>
  <w:style w:type="character" w:styleId="852">
    <w:name w:val="Header Char"/>
    <w:basedOn w:val="862"/>
    <w:uiPriority w:val="99"/>
    <w:qFormat/>
  </w:style>
  <w:style w:type="character" w:styleId="853">
    <w:name w:val="Footer Char"/>
    <w:basedOn w:val="862"/>
    <w:uiPriority w:val="99"/>
    <w:qFormat/>
  </w:style>
  <w:style w:type="character" w:styleId="854">
    <w:name w:val="Caption Char"/>
    <w:uiPriority w:val="99"/>
    <w:qFormat/>
  </w:style>
  <w:style w:type="character" w:styleId="855">
    <w:name w:val="Интернет-ссылка"/>
    <w:uiPriority w:val="99"/>
    <w:unhideWhenUsed/>
    <w:rPr>
      <w:color w:val="0000ff" w:themeColor="hyperlink"/>
      <w:u w:val="single"/>
    </w:rPr>
  </w:style>
  <w:style w:type="character" w:styleId="856">
    <w:name w:val="Footnote Text Char"/>
    <w:uiPriority w:val="99"/>
    <w:qFormat/>
    <w:rPr>
      <w:sz w:val="18"/>
    </w:rPr>
  </w:style>
  <w:style w:type="character" w:styleId="857">
    <w:name w:val="Привязка сноски"/>
    <w:rPr>
      <w:vertAlign w:val="superscript"/>
    </w:rPr>
  </w:style>
  <w:style w:type="character" w:styleId="858">
    <w:name w:val="Footnote Characters"/>
    <w:uiPriority w:val="99"/>
    <w:unhideWhenUsed/>
    <w:qFormat/>
    <w:rPr>
      <w:vertAlign w:val="superscript"/>
    </w:rPr>
  </w:style>
  <w:style w:type="character" w:styleId="859">
    <w:name w:val="Endnote Text Char"/>
    <w:uiPriority w:val="99"/>
    <w:qFormat/>
    <w:rPr>
      <w:sz w:val="20"/>
    </w:rPr>
  </w:style>
  <w:style w:type="character" w:styleId="860">
    <w:name w:val="Привязка концевой сноски"/>
    <w:rPr>
      <w:vertAlign w:val="superscript"/>
    </w:rPr>
  </w:style>
  <w:style w:type="character" w:styleId="861">
    <w:name w:val="Endnote Characters"/>
    <w:uiPriority w:val="99"/>
    <w:semiHidden/>
    <w:unhideWhenUsed/>
    <w:qFormat/>
    <w:rPr>
      <w:vertAlign w:val="superscript"/>
    </w:rPr>
  </w:style>
  <w:style w:type="character" w:styleId="862" w:default="1">
    <w:name w:val="Default Paragraph Font"/>
    <w:uiPriority w:val="1"/>
    <w:unhideWhenUsed/>
    <w:qFormat/>
  </w:style>
  <w:style w:type="character" w:styleId="863" w:customStyle="1">
    <w:name w:val="Заголовок 2 Знак"/>
    <w:basedOn w:val="862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64" w:customStyle="1">
    <w:name w:val="Нижний колонтитул Знак"/>
    <w:basedOn w:val="862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5">
    <w:name w:val="page number"/>
    <w:basedOn w:val="862"/>
    <w:qFormat/>
  </w:style>
  <w:style w:type="character" w:styleId="866" w:customStyle="1">
    <w:name w:val="Основной текст с отступом Знак"/>
    <w:basedOn w:val="86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7" w:customStyle="1">
    <w:name w:val="Текст выноски Знак"/>
    <w:basedOn w:val="862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868" w:customStyle="1">
    <w:name w:val="Верхний колонтитул Знак"/>
    <w:basedOn w:val="862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9">
    <w:name w:val="Заголовок"/>
    <w:basedOn w:val="829"/>
    <w:next w:val="870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70">
    <w:name w:val="Body Text"/>
    <w:basedOn w:val="829"/>
    <w:pPr>
      <w:spacing w:before="0" w:after="140" w:line="276" w:lineRule="auto"/>
    </w:pPr>
  </w:style>
  <w:style w:type="paragraph" w:styleId="871">
    <w:name w:val="List"/>
    <w:basedOn w:val="870"/>
    <w:rPr>
      <w:rFonts w:cs="Droid Sans Devanagari"/>
    </w:rPr>
  </w:style>
  <w:style w:type="paragraph" w:styleId="872">
    <w:name w:val="Caption"/>
    <w:basedOn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73">
    <w:name w:val="Указатель"/>
    <w:basedOn w:val="829"/>
    <w:qFormat/>
    <w:pPr>
      <w:suppressLineNumbers/>
    </w:pPr>
    <w:rPr>
      <w:rFonts w:cs="Droid Sans Devanagari"/>
    </w:rPr>
  </w:style>
  <w:style w:type="paragraph" w:styleId="874">
    <w:name w:val="List Paragraph"/>
    <w:basedOn w:val="829"/>
    <w:uiPriority w:val="34"/>
    <w:qFormat/>
    <w:pPr>
      <w:spacing w:before="0" w:after="160"/>
      <w:ind w:left="720" w:firstLine="0"/>
      <w:contextualSpacing/>
    </w:pPr>
  </w:style>
  <w:style w:type="paragraph" w:styleId="875">
    <w:name w:val="No Spacing"/>
    <w:uiPriority w:val="1"/>
    <w:qFormat/>
    <w:pPr>
      <w:widowControl/>
      <w:spacing w:before="0" w:beforeAutospacing="0" w:after="0" w:afterAutospacing="0" w:line="240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876">
    <w:name w:val="Title"/>
    <w:basedOn w:val="82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877">
    <w:name w:val="Subtitle"/>
    <w:basedOn w:val="829"/>
    <w:uiPriority w:val="11"/>
    <w:qFormat/>
    <w:pPr>
      <w:spacing w:before="200" w:after="200"/>
    </w:pPr>
    <w:rPr>
      <w:sz w:val="24"/>
      <w:szCs w:val="24"/>
    </w:rPr>
  </w:style>
  <w:style w:type="paragraph" w:styleId="878">
    <w:name w:val="Quote"/>
    <w:basedOn w:val="829"/>
    <w:uiPriority w:val="29"/>
    <w:qFormat/>
    <w:pPr>
      <w:ind w:left="720" w:right="720" w:firstLine="0"/>
    </w:pPr>
    <w:rPr>
      <w:i/>
    </w:rPr>
  </w:style>
  <w:style w:type="paragraph" w:styleId="879">
    <w:name w:val="Intense Quote"/>
    <w:basedOn w:val="82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160"/>
      <w:ind w:left="720" w:right="720" w:firstLine="0"/>
    </w:pPr>
    <w:rPr>
      <w:i/>
    </w:rPr>
  </w:style>
  <w:style w:type="paragraph" w:styleId="880">
    <w:name w:val="footnote text"/>
    <w:basedOn w:val="82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81">
    <w:name w:val="endnote text"/>
    <w:basedOn w:val="82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82">
    <w:name w:val="toc 1"/>
    <w:basedOn w:val="829"/>
    <w:uiPriority w:val="39"/>
    <w:unhideWhenUsed/>
    <w:pPr>
      <w:spacing w:before="0" w:after="57"/>
      <w:ind w:left="0" w:right="0" w:firstLine="0"/>
    </w:pPr>
  </w:style>
  <w:style w:type="paragraph" w:styleId="883">
    <w:name w:val="toc 2"/>
    <w:basedOn w:val="829"/>
    <w:uiPriority w:val="39"/>
    <w:unhideWhenUsed/>
    <w:pPr>
      <w:spacing w:before="0" w:after="57"/>
      <w:ind w:left="283" w:right="0" w:firstLine="0"/>
    </w:pPr>
  </w:style>
  <w:style w:type="paragraph" w:styleId="884">
    <w:name w:val="toc 3"/>
    <w:basedOn w:val="829"/>
    <w:uiPriority w:val="39"/>
    <w:unhideWhenUsed/>
    <w:pPr>
      <w:spacing w:before="0" w:after="57"/>
      <w:ind w:left="567" w:right="0" w:firstLine="0"/>
    </w:pPr>
  </w:style>
  <w:style w:type="paragraph" w:styleId="885">
    <w:name w:val="toc 4"/>
    <w:basedOn w:val="829"/>
    <w:uiPriority w:val="39"/>
    <w:unhideWhenUsed/>
    <w:pPr>
      <w:spacing w:before="0" w:after="57"/>
      <w:ind w:left="850" w:right="0" w:firstLine="0"/>
    </w:pPr>
  </w:style>
  <w:style w:type="paragraph" w:styleId="886">
    <w:name w:val="toc 5"/>
    <w:basedOn w:val="829"/>
    <w:uiPriority w:val="39"/>
    <w:unhideWhenUsed/>
    <w:pPr>
      <w:spacing w:before="0" w:after="57"/>
      <w:ind w:left="1134" w:right="0" w:firstLine="0"/>
    </w:pPr>
  </w:style>
  <w:style w:type="paragraph" w:styleId="887">
    <w:name w:val="toc 6"/>
    <w:basedOn w:val="829"/>
    <w:uiPriority w:val="39"/>
    <w:unhideWhenUsed/>
    <w:pPr>
      <w:spacing w:before="0" w:after="57"/>
      <w:ind w:left="1417" w:right="0" w:firstLine="0"/>
    </w:pPr>
  </w:style>
  <w:style w:type="paragraph" w:styleId="888">
    <w:name w:val="toc 7"/>
    <w:basedOn w:val="829"/>
    <w:uiPriority w:val="39"/>
    <w:unhideWhenUsed/>
    <w:pPr>
      <w:spacing w:before="0" w:after="57"/>
      <w:ind w:left="1701" w:right="0" w:firstLine="0"/>
    </w:pPr>
  </w:style>
  <w:style w:type="paragraph" w:styleId="889">
    <w:name w:val="toc 8"/>
    <w:basedOn w:val="829"/>
    <w:uiPriority w:val="39"/>
    <w:unhideWhenUsed/>
    <w:pPr>
      <w:spacing w:before="0" w:after="57"/>
      <w:ind w:left="1984" w:right="0" w:firstLine="0"/>
    </w:pPr>
  </w:style>
  <w:style w:type="paragraph" w:styleId="890">
    <w:name w:val="toc 9"/>
    <w:basedOn w:val="829"/>
    <w:uiPriority w:val="39"/>
    <w:unhideWhenUsed/>
    <w:pPr>
      <w:spacing w:before="0" w:after="57"/>
      <w:ind w:left="2268" w:right="0" w:firstLine="0"/>
    </w:pPr>
  </w:style>
  <w:style w:type="paragraph" w:styleId="891">
    <w:name w:val="TOC Heading"/>
    <w:uiPriority w:val="39"/>
    <w:unhideWhenUsed/>
    <w:qFormat/>
    <w:pPr>
      <w:widowControl/>
      <w:spacing w:before="0" w:beforeAutospacing="0" w:after="160" w:afterAutospacing="0" w:line="259" w:lineRule="auto"/>
      <w:jc w:val="left"/>
    </w:pPr>
    <w:rPr>
      <w:rFonts w:ascii="Calibri" w:hAnsi="Calibri" w:eastAsia="Calibri" w:cs="Arial" w:asciiTheme="minorHAnsi" w:hAnsiTheme="minorHAnsi" w:eastAsiaTheme="minorHAnsi" w:cstheme="minorBidi"/>
      <w:color w:val="auto"/>
      <w:sz w:val="24"/>
      <w:szCs w:val="22"/>
      <w:lang w:val="ru-RU" w:eastAsia="en-US" w:bidi="ar-SA"/>
    </w:rPr>
  </w:style>
  <w:style w:type="paragraph" w:styleId="892">
    <w:name w:val="table of figures"/>
    <w:basedOn w:val="829"/>
    <w:uiPriority w:val="99"/>
    <w:unhideWhenUsed/>
    <w:qFormat/>
    <w:pPr>
      <w:spacing w:before="0" w:after="0" w:afterAutospacing="0"/>
    </w:pPr>
  </w:style>
  <w:style w:type="paragraph" w:styleId="893" w:customStyle="1">
    <w:name w:val="ConsPlusNormal"/>
    <w:qFormat/>
    <w:pPr>
      <w:widowControl w:val="off"/>
      <w:spacing w:before="0" w:beforeAutospacing="0" w:after="0" w:afterAutospacing="0" w:line="240" w:lineRule="auto"/>
      <w:ind w:firstLine="720"/>
      <w:jc w:val="left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894">
    <w:name w:val="Верхний и нижний колонтитулы"/>
    <w:basedOn w:val="829"/>
    <w:qFormat/>
  </w:style>
  <w:style w:type="paragraph" w:styleId="895">
    <w:name w:val="Footer"/>
    <w:basedOn w:val="829"/>
    <w:uiPriority w:val="9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96" w:customStyle="1">
    <w:name w:val="ConsNormal"/>
    <w:qFormat/>
    <w:pPr>
      <w:widowControl/>
      <w:spacing w:before="0" w:beforeAutospacing="0" w:after="0" w:afterAutospacing="0" w:line="240" w:lineRule="auto"/>
      <w:ind w:firstLine="720"/>
      <w:jc w:val="both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897">
    <w:name w:val="Body Text Indent"/>
    <w:basedOn w:val="829"/>
    <w:pPr>
      <w:spacing w:before="0" w:after="120"/>
      <w:ind w:left="283" w:firstLine="0"/>
    </w:pPr>
  </w:style>
  <w:style w:type="paragraph" w:styleId="898">
    <w:name w:val="Balloon Text"/>
    <w:basedOn w:val="829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99">
    <w:name w:val="Header"/>
    <w:basedOn w:val="82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900" w:default="1">
    <w:name w:val="No List"/>
    <w:uiPriority w:val="99"/>
    <w:semiHidden/>
    <w:unhideWhenUsed/>
    <w:qFormat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EC03-FD1F-45BF-911E-50B52614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Анорчева Ольга Матвеевна</dc:creator>
  <dc:description/>
  <dc:language>ru-RU</dc:language>
  <cp:revision>20</cp:revision>
  <dcterms:created xsi:type="dcterms:W3CDTF">2022-04-22T07:42:00Z</dcterms:created>
  <dcterms:modified xsi:type="dcterms:W3CDTF">2024-05-02T10:15:50Z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